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10AA" w14:textId="77777777" w:rsidR="001D30AE" w:rsidRPr="00F03D34" w:rsidRDefault="001D30AE" w:rsidP="001D30AE">
      <w:pPr>
        <w:rPr>
          <w:rFonts w:ascii="Garamond" w:hAnsi="Garamond"/>
          <w:b/>
          <w:sz w:val="28"/>
          <w:szCs w:val="28"/>
          <w:u w:val="double"/>
        </w:rPr>
      </w:pPr>
      <w:r>
        <w:rPr>
          <w:rFonts w:ascii="Garamond" w:hAnsi="Garamond"/>
          <w:b/>
          <w:sz w:val="28"/>
          <w:szCs w:val="28"/>
          <w:u w:val="double"/>
        </w:rPr>
        <w:t>Math 200</w:t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</w:p>
    <w:p w14:paraId="66EF0FF7" w14:textId="1D716198" w:rsidR="001D30AE" w:rsidRDefault="006C0CCC" w:rsidP="001D30AE">
      <w:pPr>
        <w:rPr>
          <w:rFonts w:ascii="Garamond" w:hAnsi="Garamond"/>
        </w:rPr>
      </w:pPr>
      <w:r>
        <w:rPr>
          <w:rFonts w:ascii="Garamond" w:hAnsi="Garamond"/>
        </w:rPr>
        <w:t xml:space="preserve">OLI </w:t>
      </w:r>
      <w:r w:rsidR="001D30AE">
        <w:rPr>
          <w:rFonts w:ascii="Garamond" w:hAnsi="Garamond"/>
        </w:rPr>
        <w:t xml:space="preserve">Mod </w:t>
      </w:r>
      <w:r w:rsidR="00E9277F">
        <w:rPr>
          <w:rFonts w:ascii="Garamond" w:hAnsi="Garamond"/>
        </w:rPr>
        <w:t>7</w:t>
      </w:r>
      <w:r w:rsidR="001D30AE">
        <w:rPr>
          <w:rFonts w:ascii="Garamond" w:hAnsi="Garamond"/>
        </w:rPr>
        <w:t xml:space="preserve"> study guide</w:t>
      </w:r>
    </w:p>
    <w:p w14:paraId="7C445822" w14:textId="77777777" w:rsidR="001D30AE" w:rsidRDefault="001D30AE" w:rsidP="001D30AE">
      <w:pPr>
        <w:rPr>
          <w:rFonts w:ascii="Garamond" w:hAnsi="Garamond"/>
        </w:rPr>
      </w:pPr>
    </w:p>
    <w:p w14:paraId="7CF203B0" w14:textId="7A5F12E9" w:rsidR="00D46267" w:rsidRPr="00E9277F" w:rsidRDefault="00E9277F">
      <w:pPr>
        <w:rPr>
          <w:rFonts w:ascii="Garamond" w:hAnsi="Garamond"/>
          <w:b/>
          <w:sz w:val="22"/>
          <w:szCs w:val="22"/>
        </w:rPr>
      </w:pPr>
      <w:r w:rsidRPr="00E9277F">
        <w:rPr>
          <w:rFonts w:ascii="Garamond" w:hAnsi="Garamond"/>
          <w:b/>
          <w:sz w:val="22"/>
          <w:szCs w:val="22"/>
        </w:rPr>
        <w:t>Variables and Classification</w:t>
      </w:r>
    </w:p>
    <w:p w14:paraId="3322C3FB" w14:textId="57C542EF" w:rsidR="00C90098" w:rsidRDefault="00C90098">
      <w:pPr>
        <w:rPr>
          <w:rFonts w:ascii="Garamond" w:hAnsi="Garamond"/>
          <w:sz w:val="22"/>
          <w:szCs w:val="22"/>
        </w:rPr>
      </w:pPr>
    </w:p>
    <w:p w14:paraId="45A5A0FE" w14:textId="27C45731" w:rsidR="00C90098" w:rsidRDefault="00C900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Variable classification:</w:t>
      </w:r>
    </w:p>
    <w:p w14:paraId="2C656D6E" w14:textId="071BC665" w:rsidR="00E9277F" w:rsidRDefault="00C90098" w:rsidP="00C9009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90098">
        <w:rPr>
          <w:rFonts w:ascii="Garamond" w:hAnsi="Garamond"/>
          <w:sz w:val="22"/>
          <w:szCs w:val="22"/>
        </w:rPr>
        <w:t>Categorical</w:t>
      </w:r>
      <w:r w:rsidR="000B7CF3">
        <w:rPr>
          <w:rFonts w:ascii="Garamond" w:hAnsi="Garamond"/>
          <w:sz w:val="22"/>
          <w:szCs w:val="22"/>
        </w:rPr>
        <w:t xml:space="preserve"> (descriptive – e.g. color, race, gender, phone number, . . .)</w:t>
      </w:r>
    </w:p>
    <w:p w14:paraId="4F96B9FA" w14:textId="4366DEAB" w:rsidR="00D57888" w:rsidRPr="00C90098" w:rsidRDefault="00D57888" w:rsidP="00D57888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Binary and Non-Binary (categorical variables can be either binary (two options – e.g. yes/no; male/female) or non-binary (more than two – e.g. colors; races).</w:t>
      </w:r>
    </w:p>
    <w:p w14:paraId="0F059460" w14:textId="7EB715AB" w:rsidR="00C90098" w:rsidRDefault="00C90098" w:rsidP="00C9009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90098">
        <w:rPr>
          <w:rFonts w:ascii="Garamond" w:hAnsi="Garamond"/>
          <w:sz w:val="22"/>
          <w:szCs w:val="22"/>
        </w:rPr>
        <w:t>Quantitative</w:t>
      </w:r>
      <w:r w:rsidR="000B7CF3">
        <w:rPr>
          <w:rFonts w:ascii="Garamond" w:hAnsi="Garamond"/>
          <w:sz w:val="22"/>
          <w:szCs w:val="22"/>
        </w:rPr>
        <w:t xml:space="preserve"> (numerical – e.g. measures like height and weight, </w:t>
      </w:r>
      <w:proofErr w:type="spellStart"/>
      <w:r w:rsidR="000B7CF3">
        <w:rPr>
          <w:rFonts w:ascii="Garamond" w:hAnsi="Garamond"/>
          <w:sz w:val="22"/>
          <w:szCs w:val="22"/>
        </w:rPr>
        <w:t>gpa</w:t>
      </w:r>
      <w:proofErr w:type="spellEnd"/>
      <w:r w:rsidR="000B7CF3">
        <w:rPr>
          <w:rFonts w:ascii="Garamond" w:hAnsi="Garamond"/>
          <w:sz w:val="22"/>
          <w:szCs w:val="22"/>
        </w:rPr>
        <w:t>, age, time, . . .)</w:t>
      </w:r>
    </w:p>
    <w:p w14:paraId="50C73290" w14:textId="09CAC721" w:rsidR="00985561" w:rsidRDefault="00985561" w:rsidP="00985561">
      <w:pPr>
        <w:rPr>
          <w:rFonts w:ascii="Garamond" w:hAnsi="Garamond"/>
          <w:sz w:val="22"/>
          <w:szCs w:val="22"/>
        </w:rPr>
      </w:pPr>
    </w:p>
    <w:p w14:paraId="717083AC" w14:textId="047857B2" w:rsidR="00067440" w:rsidRDefault="00067440" w:rsidP="0098556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Cause and Effect:</w:t>
      </w:r>
    </w:p>
    <w:p w14:paraId="4345ED2B" w14:textId="0EAFDF58" w:rsidR="00067440" w:rsidRPr="00067440" w:rsidRDefault="00067440" w:rsidP="00067440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67440">
        <w:rPr>
          <w:rFonts w:ascii="Garamond" w:hAnsi="Garamond"/>
          <w:sz w:val="22"/>
          <w:szCs w:val="22"/>
        </w:rPr>
        <w:t>Explanatory</w:t>
      </w:r>
      <w:r>
        <w:rPr>
          <w:rFonts w:ascii="Garamond" w:hAnsi="Garamond"/>
          <w:sz w:val="22"/>
          <w:szCs w:val="22"/>
        </w:rPr>
        <w:t xml:space="preserve"> (also called </w:t>
      </w:r>
      <w:r w:rsidRPr="00067440">
        <w:rPr>
          <w:rFonts w:ascii="Garamond" w:hAnsi="Garamond"/>
          <w:i/>
          <w:sz w:val="22"/>
          <w:szCs w:val="22"/>
        </w:rPr>
        <w:t>independent</w:t>
      </w:r>
      <w:r>
        <w:rPr>
          <w:rFonts w:ascii="Garamond" w:hAnsi="Garamond"/>
          <w:sz w:val="22"/>
          <w:szCs w:val="22"/>
        </w:rPr>
        <w:t xml:space="preserve"> or </w:t>
      </w:r>
      <w:r w:rsidRPr="00067440">
        <w:rPr>
          <w:rFonts w:ascii="Garamond" w:hAnsi="Garamond"/>
          <w:i/>
          <w:sz w:val="22"/>
          <w:szCs w:val="22"/>
        </w:rPr>
        <w:t>treatment</w:t>
      </w:r>
      <w:r>
        <w:rPr>
          <w:rFonts w:ascii="Garamond" w:hAnsi="Garamond"/>
          <w:sz w:val="22"/>
          <w:szCs w:val="22"/>
        </w:rPr>
        <w:t xml:space="preserve"> - </w:t>
      </w:r>
      <w:r w:rsidRPr="00067440">
        <w:rPr>
          <w:rFonts w:ascii="Garamond" w:hAnsi="Garamond"/>
          <w:sz w:val="22"/>
          <w:szCs w:val="22"/>
        </w:rPr>
        <w:t>the variable that claims to explain, predict, or affect the response</w:t>
      </w:r>
      <w:r>
        <w:rPr>
          <w:rFonts w:ascii="Garamond" w:hAnsi="Garamond"/>
          <w:sz w:val="22"/>
          <w:szCs w:val="22"/>
        </w:rPr>
        <w:t>).</w:t>
      </w:r>
    </w:p>
    <w:p w14:paraId="15D2D4AF" w14:textId="5B8E3490" w:rsidR="00067440" w:rsidRPr="00067440" w:rsidRDefault="00067440" w:rsidP="00067440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67440">
        <w:rPr>
          <w:rFonts w:ascii="Garamond" w:hAnsi="Garamond"/>
          <w:sz w:val="22"/>
          <w:szCs w:val="22"/>
        </w:rPr>
        <w:t>Response</w:t>
      </w:r>
      <w:r>
        <w:rPr>
          <w:rFonts w:ascii="Garamond" w:hAnsi="Garamond"/>
          <w:sz w:val="22"/>
          <w:szCs w:val="22"/>
        </w:rPr>
        <w:t xml:space="preserve"> </w:t>
      </w:r>
      <w:r w:rsidR="00815621">
        <w:rPr>
          <w:rFonts w:ascii="Garamond" w:hAnsi="Garamond"/>
          <w:sz w:val="22"/>
          <w:szCs w:val="22"/>
        </w:rPr>
        <w:t>(also the response variable – is the outcome or result of a study).</w:t>
      </w:r>
    </w:p>
    <w:p w14:paraId="547C6A95" w14:textId="5BB47259" w:rsidR="00D46267" w:rsidRDefault="00D46267">
      <w:pPr>
        <w:rPr>
          <w:rFonts w:ascii="Garamond" w:hAnsi="Garamond"/>
          <w:sz w:val="22"/>
          <w:szCs w:val="22"/>
        </w:rPr>
      </w:pPr>
    </w:p>
    <w:p w14:paraId="3493B48C" w14:textId="21822E23" w:rsidR="00CC7CD2" w:rsidRDefault="00CC7CD2">
      <w:pPr>
        <w:rPr>
          <w:rFonts w:ascii="Garamond" w:hAnsi="Garamond"/>
          <w:sz w:val="22"/>
          <w:szCs w:val="22"/>
        </w:rPr>
      </w:pPr>
    </w:p>
    <w:p w14:paraId="58B3E5D5" w14:textId="37C1CA80" w:rsidR="00CC7CD2" w:rsidRPr="00CC7CD2" w:rsidRDefault="00CC7CD2" w:rsidP="00CC7CD2">
      <w:pPr>
        <w:rPr>
          <w:rFonts w:ascii="Garamond" w:hAnsi="Garamond"/>
          <w:b/>
          <w:sz w:val="22"/>
          <w:szCs w:val="22"/>
        </w:rPr>
      </w:pPr>
      <w:r w:rsidRPr="00CC7CD2">
        <w:rPr>
          <w:rFonts w:ascii="Garamond" w:hAnsi="Garamond"/>
          <w:b/>
          <w:sz w:val="22"/>
          <w:szCs w:val="22"/>
        </w:rPr>
        <w:t xml:space="preserve">C </w:t>
      </w:r>
      <w:r w:rsidR="0051103A">
        <w:rPr>
          <w:rFonts w:ascii="Garamond" w:hAnsi="Garamond"/>
          <w:b/>
          <w:sz w:val="22"/>
          <w:szCs w:val="22"/>
        </w:rPr>
        <w:sym w:font="Symbol" w:char="F0AE"/>
      </w:r>
      <w:r w:rsidR="0051103A" w:rsidRPr="0051103A">
        <w:rPr>
          <w:rFonts w:ascii="Garamond" w:hAnsi="Garamond"/>
          <w:b/>
          <w:sz w:val="22"/>
          <w:szCs w:val="22"/>
        </w:rPr>
        <w:t xml:space="preserve"> </w:t>
      </w:r>
      <w:r w:rsidRPr="00CC7CD2">
        <w:rPr>
          <w:rFonts w:ascii="Garamond" w:hAnsi="Garamond"/>
          <w:b/>
          <w:sz w:val="22"/>
          <w:szCs w:val="22"/>
        </w:rPr>
        <w:t>Q</w:t>
      </w:r>
    </w:p>
    <w:p w14:paraId="4DFB1F7A" w14:textId="7459E575" w:rsidR="003C2710" w:rsidRPr="003C2710" w:rsidRDefault="00CC7CD2" w:rsidP="003C271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Compares two or more categorical </w:t>
      </w:r>
      <w:r w:rsidR="00B40954">
        <w:rPr>
          <w:rFonts w:ascii="Garamond" w:hAnsi="Garamond"/>
          <w:sz w:val="22"/>
          <w:szCs w:val="22"/>
        </w:rPr>
        <w:t xml:space="preserve">explanatory </w:t>
      </w:r>
      <w:r>
        <w:rPr>
          <w:rFonts w:ascii="Garamond" w:hAnsi="Garamond"/>
          <w:sz w:val="22"/>
          <w:szCs w:val="22"/>
        </w:rPr>
        <w:t xml:space="preserve">elements </w:t>
      </w:r>
      <w:r w:rsidR="00B40954">
        <w:rPr>
          <w:rFonts w:ascii="Garamond" w:hAnsi="Garamond"/>
          <w:sz w:val="22"/>
          <w:szCs w:val="22"/>
        </w:rPr>
        <w:t xml:space="preserve">through quantitative responses. </w:t>
      </w:r>
      <w:r w:rsidR="003C2710">
        <w:rPr>
          <w:rFonts w:ascii="Garamond" w:hAnsi="Garamond"/>
          <w:sz w:val="22"/>
          <w:szCs w:val="22"/>
        </w:rPr>
        <w:t xml:space="preserve">In essence </w:t>
      </w:r>
      <w:r w:rsidR="003C2710" w:rsidRPr="003C2710">
        <w:rPr>
          <w:rFonts w:ascii="Garamond" w:hAnsi="Garamond"/>
          <w:sz w:val="22"/>
          <w:szCs w:val="22"/>
        </w:rPr>
        <w:t xml:space="preserve">we </w:t>
      </w:r>
      <w:r w:rsidR="003C2710" w:rsidRPr="003C2710">
        <w:rPr>
          <w:rFonts w:ascii="Garamond" w:hAnsi="Garamond"/>
          <w:iCs/>
          <w:sz w:val="22"/>
          <w:szCs w:val="22"/>
        </w:rPr>
        <w:t>compare the distributions of the quantitative response for each category of the explanatory variable</w:t>
      </w:r>
      <w:r w:rsidR="003C2710" w:rsidRPr="003C2710">
        <w:rPr>
          <w:rFonts w:ascii="Garamond" w:hAnsi="Garamond"/>
          <w:sz w:val="22"/>
          <w:szCs w:val="22"/>
        </w:rPr>
        <w:t xml:space="preserve"> using side-by-side boxplots supplemented by descriptive statistics</w:t>
      </w:r>
      <w:r w:rsidR="00C2332C">
        <w:rPr>
          <w:rFonts w:ascii="Garamond" w:hAnsi="Garamond"/>
          <w:sz w:val="22"/>
          <w:szCs w:val="22"/>
        </w:rPr>
        <w:t>.</w:t>
      </w:r>
    </w:p>
    <w:p w14:paraId="44C4E9B6" w14:textId="47E597BE" w:rsidR="00B40954" w:rsidRDefault="00B40954" w:rsidP="00520FBA">
      <w:pPr>
        <w:ind w:left="720"/>
        <w:rPr>
          <w:rFonts w:ascii="Garamond" w:hAnsi="Garamond"/>
          <w:sz w:val="22"/>
          <w:szCs w:val="22"/>
        </w:rPr>
      </w:pPr>
    </w:p>
    <w:p w14:paraId="4AE648DC" w14:textId="29112585" w:rsidR="00B40954" w:rsidRDefault="00B40954" w:rsidP="00B4095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</w:t>
      </w:r>
      <w:r w:rsidRPr="00B4095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medians to compare typical values. Use language like, “on average group A is &lt;difference in medians&gt; bigger than group B.”</w:t>
      </w:r>
    </w:p>
    <w:p w14:paraId="234E4E67" w14:textId="03DD5E85" w:rsidR="00B40954" w:rsidRDefault="00B40954" w:rsidP="00B4095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IQRs to compare spread of each. Use language that recognizes variability. “Group A has less variability than group B with the middle 50% of group A’s attribute &lt;</w:t>
      </w:r>
      <w:r w:rsidR="008244F8">
        <w:rPr>
          <w:rFonts w:ascii="Garamond" w:hAnsi="Garamond"/>
          <w:sz w:val="22"/>
          <w:szCs w:val="22"/>
        </w:rPr>
        <w:t>e.g.</w:t>
      </w:r>
      <w:r>
        <w:rPr>
          <w:rFonts w:ascii="Garamond" w:hAnsi="Garamond"/>
          <w:sz w:val="22"/>
          <w:szCs w:val="22"/>
        </w:rPr>
        <w:t xml:space="preserve"> height or weight&gt; spanning </w:t>
      </w:r>
      <w:r w:rsidR="008244F8">
        <w:rPr>
          <w:rFonts w:ascii="Garamond" w:hAnsi="Garamond"/>
          <w:sz w:val="22"/>
          <w:szCs w:val="22"/>
          <w:u w:val="single"/>
        </w:rPr>
        <w:t xml:space="preserve">             </w:t>
      </w:r>
      <w:r>
        <w:rPr>
          <w:rFonts w:ascii="Garamond" w:hAnsi="Garamond"/>
          <w:sz w:val="22"/>
          <w:szCs w:val="22"/>
        </w:rPr>
        <w:t xml:space="preserve">&lt;attribute units such as inches or pounds&gt;, while the middle 50% </w:t>
      </w:r>
      <w:proofErr w:type="gramStart"/>
      <w:r>
        <w:rPr>
          <w:rFonts w:ascii="Garamond" w:hAnsi="Garamond"/>
          <w:sz w:val="22"/>
          <w:szCs w:val="22"/>
        </w:rPr>
        <w:t>of  group</w:t>
      </w:r>
      <w:proofErr w:type="gramEnd"/>
      <w:r>
        <w:rPr>
          <w:rFonts w:ascii="Garamond" w:hAnsi="Garamond"/>
          <w:sz w:val="22"/>
          <w:szCs w:val="22"/>
        </w:rPr>
        <w:t xml:space="preserve"> B’s attribute ranges over </w:t>
      </w:r>
      <w:r w:rsidR="008244F8">
        <w:rPr>
          <w:rFonts w:ascii="Garamond" w:hAnsi="Garamond"/>
          <w:sz w:val="22"/>
          <w:szCs w:val="22"/>
          <w:u w:val="single"/>
        </w:rPr>
        <w:t xml:space="preserve">              </w:t>
      </w:r>
      <w:r>
        <w:rPr>
          <w:rFonts w:ascii="Garamond" w:hAnsi="Garamond"/>
          <w:sz w:val="22"/>
          <w:szCs w:val="22"/>
        </w:rPr>
        <w:t xml:space="preserve"> &lt;attribute units&gt;.”</w:t>
      </w:r>
    </w:p>
    <w:p w14:paraId="78E97FA0" w14:textId="557D88B9" w:rsidR="00B40954" w:rsidRDefault="00B40954" w:rsidP="00B4095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the two distributions are more different than they are alike, use this opportunity to emphasize the disparity by comparing the quartile references. </w:t>
      </w:r>
      <w:r w:rsidR="008244F8">
        <w:rPr>
          <w:rFonts w:ascii="Garamond" w:hAnsi="Garamond"/>
          <w:sz w:val="22"/>
          <w:szCs w:val="22"/>
        </w:rPr>
        <w:t xml:space="preserve">Introduce a reference line and use to compare.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e.g. 75% of group A is greater than &lt;some reference value&gt; while 75% of group B is less than &lt;the same reference value&gt;.</w:t>
      </w:r>
    </w:p>
    <w:p w14:paraId="50133642" w14:textId="1AB3320E" w:rsidR="00485045" w:rsidRDefault="00485045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135"/>
      </w:tblGrid>
      <w:tr w:rsidR="00485045" w14:paraId="7AD934F1" w14:textId="77777777" w:rsidTr="00485045">
        <w:tc>
          <w:tcPr>
            <w:tcW w:w="5935" w:type="dxa"/>
          </w:tcPr>
          <w:p w14:paraId="7B84E95E" w14:textId="77777777" w:rsidR="00485045" w:rsidRDefault="001552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Calorie example from OLI:</w:t>
            </w:r>
          </w:p>
          <w:p w14:paraId="6D6CA83B" w14:textId="77777777" w:rsidR="00155222" w:rsidRDefault="00155222">
            <w:pPr>
              <w:rPr>
                <w:rFonts w:ascii="Garamond" w:hAnsi="Garamond"/>
                <w:sz w:val="22"/>
                <w:szCs w:val="22"/>
              </w:rPr>
            </w:pPr>
          </w:p>
          <w:p w14:paraId="1843871E" w14:textId="2A6650A2" w:rsidR="00155222" w:rsidRDefault="00155222" w:rsidP="0015522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While beef and “other</w:t>
            </w:r>
            <w:r w:rsidR="00F670E0">
              <w:rPr>
                <w:rFonts w:ascii="Garamond" w:hAnsi="Garamond"/>
                <w:sz w:val="22"/>
                <w:szCs w:val="22"/>
              </w:rPr>
              <w:t xml:space="preserve"> meat</w:t>
            </w:r>
            <w:r>
              <w:rPr>
                <w:rFonts w:ascii="Garamond" w:hAnsi="Garamond"/>
                <w:sz w:val="22"/>
                <w:szCs w:val="22"/>
              </w:rPr>
              <w:t>” types of hotdogs have about the same average calories – 155; the typical calories for poultry is about 30 points lower.</w:t>
            </w:r>
          </w:p>
          <w:p w14:paraId="2540BD81" w14:textId="77777777" w:rsidR="00155222" w:rsidRDefault="00155222" w:rsidP="0015522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three categories exhibit about the same variability with the middle 50% of their data within about 40 calories of one another.</w:t>
            </w:r>
          </w:p>
          <w:p w14:paraId="505A9F9C" w14:textId="10B3B70B" w:rsidR="00155222" w:rsidRPr="00155222" w:rsidRDefault="00F670E0" w:rsidP="0015522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While beef and “other meat” have about the same caloric content overall, about 75% of beef and “other” have over 140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while about 75% of poultry dogs are below 140 cal.</w:t>
            </w:r>
          </w:p>
        </w:tc>
        <w:tc>
          <w:tcPr>
            <w:tcW w:w="4135" w:type="dxa"/>
          </w:tcPr>
          <w:p w14:paraId="3FAA144A" w14:textId="6336CB60" w:rsidR="00485045" w:rsidRDefault="00485045">
            <w:pPr>
              <w:rPr>
                <w:rFonts w:ascii="Garamond" w:hAnsi="Garamond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"https://oli.cmu.edu/repository/webcontent/8aaa78340a0001dc5574e39e401d2529/_u2_summarizing_data/_m2_examining_relationships/webcontent/casei3.gif"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250F7F" wp14:editId="50D04B02">
                  <wp:extent cx="2261936" cy="1550767"/>
                  <wp:effectExtent l="0" t="0" r="0" b="0"/>
                  <wp:docPr id="2" name="Picture 2" descr="Three box plots. The vertical axis is labeled &quot;Calories&quot;. There are three box plots, one each for Beef, Other Meat, and Poultry. The box plot characteristics are summarized in the table bel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i_2" descr="Three box plots. The vertical axis is labeled &quot;Calories&quot;. There are three box plots, one each for Beef, Other Meat, and Poultry. The box plot characteristics are summarized in the table belo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42" cy="155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913D0B7" w14:textId="77777777" w:rsidR="00485045" w:rsidRDefault="00485045">
      <w:pPr>
        <w:rPr>
          <w:rFonts w:ascii="Garamond" w:hAnsi="Garamond"/>
          <w:sz w:val="22"/>
          <w:szCs w:val="22"/>
        </w:rPr>
      </w:pPr>
    </w:p>
    <w:p w14:paraId="3DD6C908" w14:textId="77777777" w:rsidR="00511A9E" w:rsidRPr="00511A9E" w:rsidRDefault="00511A9E" w:rsidP="00511A9E">
      <w:pPr>
        <w:rPr>
          <w:rFonts w:ascii="Garamond" w:hAnsi="Garamond"/>
          <w:sz w:val="22"/>
          <w:szCs w:val="22"/>
        </w:rPr>
      </w:pPr>
      <w:r w:rsidRPr="00511A9E">
        <w:rPr>
          <w:rFonts w:ascii="Garamond" w:hAnsi="Garamond"/>
        </w:rPr>
        <w:t xml:space="preserve">Other examples: </w:t>
      </w:r>
      <w:r w:rsidRPr="00511A9E">
        <w:rPr>
          <w:rFonts w:ascii="Garamond" w:hAnsi="Garamond"/>
          <w:sz w:val="22"/>
          <w:szCs w:val="22"/>
        </w:rPr>
        <w:t>See Rivers handout or LBD activity comparing school programs.</w:t>
      </w:r>
    </w:p>
    <w:p w14:paraId="0774ACB4" w14:textId="6339DCC1" w:rsidR="00485045" w:rsidRDefault="00485045" w:rsidP="00485045"/>
    <w:p w14:paraId="146849CE" w14:textId="62125BB1" w:rsidR="00520FBA" w:rsidRDefault="00520FBA">
      <w:pPr>
        <w:rPr>
          <w:rFonts w:ascii="Garamond" w:hAnsi="Garamond"/>
          <w:sz w:val="22"/>
          <w:szCs w:val="22"/>
        </w:rPr>
      </w:pPr>
    </w:p>
    <w:p w14:paraId="755484CB" w14:textId="46774460" w:rsidR="00C2332C" w:rsidRDefault="00C2332C">
      <w:pPr>
        <w:rPr>
          <w:rFonts w:ascii="Garamond" w:hAnsi="Garamond"/>
          <w:sz w:val="22"/>
          <w:szCs w:val="22"/>
        </w:rPr>
      </w:pPr>
    </w:p>
    <w:p w14:paraId="6886EE9D" w14:textId="1B7CF1C7" w:rsidR="00C2332C" w:rsidRDefault="00C2332C">
      <w:pPr>
        <w:rPr>
          <w:rFonts w:ascii="Garamond" w:hAnsi="Garamond"/>
          <w:sz w:val="22"/>
          <w:szCs w:val="22"/>
        </w:rPr>
      </w:pPr>
    </w:p>
    <w:p w14:paraId="2354129F" w14:textId="6B5B217F" w:rsidR="00C2332C" w:rsidRDefault="00C2332C">
      <w:pPr>
        <w:rPr>
          <w:rFonts w:ascii="Garamond" w:hAnsi="Garamond"/>
          <w:sz w:val="22"/>
          <w:szCs w:val="22"/>
        </w:rPr>
      </w:pPr>
    </w:p>
    <w:p w14:paraId="2220E6C5" w14:textId="6341E11E" w:rsidR="00C2332C" w:rsidRDefault="00C2332C">
      <w:pPr>
        <w:rPr>
          <w:rFonts w:ascii="Garamond" w:hAnsi="Garamond"/>
          <w:sz w:val="22"/>
          <w:szCs w:val="22"/>
        </w:rPr>
      </w:pPr>
    </w:p>
    <w:p w14:paraId="716615A9" w14:textId="77777777" w:rsidR="00C2332C" w:rsidRDefault="00C2332C">
      <w:pPr>
        <w:rPr>
          <w:rFonts w:ascii="Garamond" w:hAnsi="Garamond"/>
          <w:sz w:val="22"/>
          <w:szCs w:val="22"/>
        </w:rPr>
      </w:pPr>
    </w:p>
    <w:p w14:paraId="699EDB65" w14:textId="746B3F0F" w:rsidR="0051103A" w:rsidRPr="0051103A" w:rsidRDefault="0051103A" w:rsidP="0051103A">
      <w:pPr>
        <w:rPr>
          <w:rFonts w:ascii="Garamond" w:hAnsi="Garamond"/>
          <w:b/>
          <w:sz w:val="22"/>
          <w:szCs w:val="22"/>
        </w:rPr>
      </w:pPr>
      <w:r w:rsidRPr="0051103A">
        <w:rPr>
          <w:rFonts w:ascii="Garamond" w:hAnsi="Garamond"/>
          <w:b/>
          <w:sz w:val="22"/>
          <w:szCs w:val="22"/>
        </w:rPr>
        <w:lastRenderedPageBreak/>
        <w:t xml:space="preserve">C </w:t>
      </w:r>
      <w:r>
        <w:rPr>
          <w:rFonts w:ascii="Garamond" w:hAnsi="Garamond"/>
          <w:b/>
          <w:sz w:val="22"/>
          <w:szCs w:val="22"/>
        </w:rPr>
        <w:sym w:font="Symbol" w:char="F0AE"/>
      </w:r>
      <w:r w:rsidRPr="0051103A">
        <w:rPr>
          <w:rFonts w:ascii="Garamond" w:hAnsi="Garamond"/>
          <w:b/>
          <w:sz w:val="22"/>
          <w:szCs w:val="22"/>
        </w:rPr>
        <w:t xml:space="preserve"> C</w:t>
      </w:r>
    </w:p>
    <w:p w14:paraId="11A4E00A" w14:textId="63AA37EC" w:rsidR="00C2332C" w:rsidRDefault="0051103A" w:rsidP="0051103A">
      <w:pPr>
        <w:rPr>
          <w:rFonts w:ascii="Garamond" w:hAnsi="Garamond"/>
          <w:sz w:val="22"/>
          <w:szCs w:val="22"/>
        </w:rPr>
      </w:pPr>
      <w:r w:rsidRPr="00D46267">
        <w:rPr>
          <w:rFonts w:ascii="Garamond" w:hAnsi="Garamond"/>
          <w:sz w:val="22"/>
          <w:szCs w:val="22"/>
        </w:rPr>
        <w:tab/>
      </w:r>
      <w:r w:rsidR="00DF5818">
        <w:rPr>
          <w:rFonts w:ascii="Garamond" w:hAnsi="Garamond"/>
          <w:sz w:val="22"/>
          <w:szCs w:val="22"/>
        </w:rPr>
        <w:t xml:space="preserve">Comparisons of two categorical variables involves the use of </w:t>
      </w:r>
      <w:r w:rsidRPr="00D46267">
        <w:rPr>
          <w:rFonts w:ascii="Garamond" w:hAnsi="Garamond"/>
          <w:sz w:val="22"/>
          <w:szCs w:val="22"/>
        </w:rPr>
        <w:t xml:space="preserve">2-Way tables (contingency). </w:t>
      </w:r>
    </w:p>
    <w:p w14:paraId="3C46CBC6" w14:textId="0C84444F" w:rsidR="00DF5818" w:rsidRDefault="00C2332C" w:rsidP="00C2332C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D46267">
        <w:rPr>
          <w:rFonts w:ascii="Garamond" w:hAnsi="Garamond"/>
          <w:sz w:val="22"/>
          <w:szCs w:val="22"/>
        </w:rPr>
        <w:t>Identify the explanatory variable</w:t>
      </w:r>
      <w:r w:rsidR="00B90685">
        <w:rPr>
          <w:rFonts w:ascii="Garamond" w:hAnsi="Garamond"/>
          <w:sz w:val="22"/>
          <w:szCs w:val="22"/>
        </w:rPr>
        <w:t xml:space="preserve"> (EV)</w:t>
      </w:r>
      <w:r w:rsidR="00AA595A">
        <w:rPr>
          <w:rFonts w:ascii="Garamond" w:hAnsi="Garamond"/>
          <w:sz w:val="22"/>
          <w:szCs w:val="22"/>
        </w:rPr>
        <w:t xml:space="preserve"> – label the corresponding table variable.</w:t>
      </w:r>
    </w:p>
    <w:p w14:paraId="1425528E" w14:textId="503EB6B9" w:rsidR="00AA595A" w:rsidRDefault="00AA595A" w:rsidP="00C2332C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D46267">
        <w:rPr>
          <w:rFonts w:ascii="Garamond" w:hAnsi="Garamond"/>
          <w:sz w:val="22"/>
          <w:szCs w:val="22"/>
        </w:rPr>
        <w:t xml:space="preserve">alculate percentages in the direction of the </w:t>
      </w:r>
      <w:r>
        <w:rPr>
          <w:rFonts w:ascii="Garamond" w:hAnsi="Garamond"/>
          <w:sz w:val="22"/>
          <w:szCs w:val="22"/>
        </w:rPr>
        <w:t xml:space="preserve">explanatory variable (if the </w:t>
      </w:r>
      <w:r w:rsidR="00B90685">
        <w:rPr>
          <w:rFonts w:ascii="Garamond" w:hAnsi="Garamond"/>
          <w:sz w:val="22"/>
          <w:szCs w:val="22"/>
        </w:rPr>
        <w:t>EV</w:t>
      </w:r>
      <w:r>
        <w:rPr>
          <w:rFonts w:ascii="Garamond" w:hAnsi="Garamond"/>
          <w:sz w:val="22"/>
          <w:szCs w:val="22"/>
        </w:rPr>
        <w:t xml:space="preserve"> is a column variable, then calculate column percentages using column totals; if the EV is the row variable, then calculate row percentages using row totals).</w:t>
      </w:r>
    </w:p>
    <w:p w14:paraId="0E53A6CF" w14:textId="6F4C4F46" w:rsidR="0051103A" w:rsidRPr="00A76D09" w:rsidRDefault="00A76D09" w:rsidP="0051103A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Identify which of the response characteristics you are comparing and compare through division - </w:t>
      </w:r>
      <w:r w:rsidR="0051103A" w:rsidRPr="00A76D09">
        <w:rPr>
          <w:rFonts w:ascii="Garamond" w:hAnsi="Garamond"/>
          <w:sz w:val="22"/>
          <w:szCs w:val="22"/>
        </w:rPr>
        <w:t>either by dividing the larger by the smaller (</w:t>
      </w:r>
      <w:proofErr w:type="gramStart"/>
      <w:r w:rsidR="0051103A" w:rsidRPr="00A76D09">
        <w:rPr>
          <w:rFonts w:ascii="Garamond" w:hAnsi="Garamond"/>
          <w:sz w:val="22"/>
          <w:szCs w:val="22"/>
        </w:rPr>
        <w:t>this many times</w:t>
      </w:r>
      <w:proofErr w:type="gramEnd"/>
      <w:r w:rsidR="0051103A" w:rsidRPr="00A76D09">
        <w:rPr>
          <w:rFonts w:ascii="Garamond" w:hAnsi="Garamond"/>
          <w:sz w:val="22"/>
          <w:szCs w:val="22"/>
        </w:rPr>
        <w:t xml:space="preserve"> bigger) or by dividing the difference by the larger (relative difference).</w:t>
      </w:r>
    </w:p>
    <w:p w14:paraId="7A354B83" w14:textId="77777777" w:rsidR="0051103A" w:rsidRDefault="0051103A">
      <w:pPr>
        <w:rPr>
          <w:rFonts w:ascii="Garamond" w:hAnsi="Garamond"/>
          <w:sz w:val="22"/>
          <w:szCs w:val="22"/>
        </w:rPr>
      </w:pPr>
    </w:p>
    <w:p w14:paraId="2FD9E933" w14:textId="38D2BB69" w:rsidR="00E5604A" w:rsidRDefault="00E5604A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167"/>
      </w:tblGrid>
      <w:tr w:rsidR="00E5604A" w14:paraId="2E2A8060" w14:textId="77777777" w:rsidTr="00E5604A">
        <w:tc>
          <w:tcPr>
            <w:tcW w:w="5035" w:type="dxa"/>
          </w:tcPr>
          <w:p w14:paraId="2A86F391" w14:textId="77777777" w:rsidR="00E5604A" w:rsidRDefault="00E5604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Recall the seatbelt example where we compare the incidence of fatal accidents for those wearing seatbelts with those who did not.</w:t>
            </w:r>
          </w:p>
          <w:p w14:paraId="6BE293A3" w14:textId="163AD021" w:rsidR="00E5604A" w:rsidRDefault="00E5604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Wearing the seatbelt (or not) is the explanatory variable while fatality (or not) is the response variable.</w:t>
            </w:r>
          </w:p>
        </w:tc>
        <w:tc>
          <w:tcPr>
            <w:tcW w:w="5035" w:type="dxa"/>
          </w:tcPr>
          <w:p w14:paraId="6E46D371" w14:textId="034466AA" w:rsidR="00E5604A" w:rsidRDefault="00E5604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72234772" wp14:editId="4E78C964">
                  <wp:extent cx="3144252" cy="824743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3-03 at 7.30.4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74" cy="83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9967D" w14:textId="77777777" w:rsidR="00B90685" w:rsidRDefault="00B90685">
      <w:pPr>
        <w:rPr>
          <w:rFonts w:ascii="Garamond" w:hAnsi="Garamond"/>
          <w:sz w:val="22"/>
          <w:szCs w:val="22"/>
        </w:rPr>
      </w:pPr>
    </w:p>
    <w:p w14:paraId="52CDF526" w14:textId="20E6D72D" w:rsidR="00470073" w:rsidRDefault="005E04E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 consider the probabilities P(</w:t>
      </w:r>
      <w:proofErr w:type="spellStart"/>
      <w:r>
        <w:rPr>
          <w:rFonts w:ascii="Garamond" w:hAnsi="Garamond"/>
          <w:sz w:val="22"/>
          <w:szCs w:val="22"/>
        </w:rPr>
        <w:t>fatal|seatbelt</w:t>
      </w:r>
      <w:proofErr w:type="spellEnd"/>
      <w:r>
        <w:rPr>
          <w:rFonts w:ascii="Garamond" w:hAnsi="Garamond"/>
          <w:sz w:val="22"/>
          <w:szCs w:val="22"/>
        </w:rPr>
        <w:t xml:space="preserve">) and </w:t>
      </w:r>
      <w:proofErr w:type="gramStart"/>
      <w:r>
        <w:rPr>
          <w:rFonts w:ascii="Garamond" w:hAnsi="Garamond"/>
          <w:sz w:val="22"/>
          <w:szCs w:val="22"/>
        </w:rPr>
        <w:t>P(</w:t>
      </w:r>
      <w:proofErr w:type="spellStart"/>
      <w:proofErr w:type="gramEnd"/>
      <w:r>
        <w:rPr>
          <w:rFonts w:ascii="Garamond" w:hAnsi="Garamond"/>
          <w:sz w:val="22"/>
          <w:szCs w:val="22"/>
        </w:rPr>
        <w:t>fatal|no</w:t>
      </w:r>
      <w:proofErr w:type="spellEnd"/>
      <w:r>
        <w:rPr>
          <w:rFonts w:ascii="Garamond" w:hAnsi="Garamond"/>
          <w:sz w:val="22"/>
          <w:szCs w:val="22"/>
        </w:rPr>
        <w:t xml:space="preserve"> seatbelt). Note the response variable (first slot – numerator) category remains the same </w:t>
      </w:r>
      <w:r w:rsidR="00D50ACE">
        <w:rPr>
          <w:rFonts w:ascii="Garamond" w:hAnsi="Garamond"/>
          <w:sz w:val="22"/>
          <w:szCs w:val="22"/>
        </w:rPr>
        <w:t xml:space="preserve">(we’re interested in fatality) </w:t>
      </w:r>
      <w:r>
        <w:rPr>
          <w:rFonts w:ascii="Garamond" w:hAnsi="Garamond"/>
          <w:sz w:val="22"/>
          <w:szCs w:val="22"/>
        </w:rPr>
        <w:t>while the explanatory variable (second slot - denominator) or what we are comparing – covers the two values we are comparing.</w:t>
      </w:r>
    </w:p>
    <w:p w14:paraId="7BEF63EF" w14:textId="77777777" w:rsidR="002D4166" w:rsidRDefault="002D4166">
      <w:pPr>
        <w:rPr>
          <w:rFonts w:ascii="Garamond" w:hAnsi="Garamond"/>
          <w:sz w:val="22"/>
          <w:szCs w:val="22"/>
        </w:rPr>
      </w:pPr>
    </w:p>
    <w:p w14:paraId="45750453" w14:textId="3FA87EAF" w:rsidR="0066242E" w:rsidRDefault="0066242E" w:rsidP="0066242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P(</w:t>
      </w:r>
      <w:proofErr w:type="spellStart"/>
      <w:r>
        <w:rPr>
          <w:rFonts w:ascii="Garamond" w:hAnsi="Garamond"/>
          <w:sz w:val="22"/>
          <w:szCs w:val="22"/>
        </w:rPr>
        <w:t>fatal|seatbelt</w:t>
      </w:r>
      <w:proofErr w:type="spellEnd"/>
      <w:r>
        <w:rPr>
          <w:rFonts w:ascii="Garamond" w:hAnsi="Garamond"/>
          <w:sz w:val="22"/>
          <w:szCs w:val="22"/>
        </w:rPr>
        <w:t xml:space="preserve">) = </w:t>
      </w:r>
      <w:r w:rsidRPr="0066242E">
        <w:rPr>
          <w:rFonts w:ascii="Garamond" w:hAnsi="Garamond"/>
          <w:sz w:val="22"/>
          <w:szCs w:val="22"/>
        </w:rPr>
        <w:t>510</w:t>
      </w:r>
      <w:r>
        <w:rPr>
          <w:rFonts w:ascii="Garamond" w:hAnsi="Garamond"/>
          <w:sz w:val="22"/>
          <w:szCs w:val="22"/>
        </w:rPr>
        <w:t>/</w:t>
      </w:r>
      <w:r w:rsidRPr="0066242E">
        <w:rPr>
          <w:rFonts w:ascii="Garamond" w:hAnsi="Garamond"/>
          <w:sz w:val="22"/>
          <w:szCs w:val="22"/>
        </w:rPr>
        <w:t>412878</w:t>
      </w:r>
      <w:r>
        <w:rPr>
          <w:rFonts w:ascii="Garamond" w:hAnsi="Garamond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≈</m:t>
        </m:r>
      </m:oMath>
      <w:r>
        <w:rPr>
          <w:rFonts w:ascii="Garamond" w:hAnsi="Garamond"/>
          <w:sz w:val="22"/>
          <w:szCs w:val="22"/>
        </w:rPr>
        <w:t xml:space="preserve"> 0.</w:t>
      </w:r>
      <w:r w:rsidRPr="0066242E">
        <w:rPr>
          <w:rFonts w:ascii="Garamond" w:hAnsi="Garamond"/>
          <w:sz w:val="22"/>
          <w:szCs w:val="22"/>
        </w:rPr>
        <w:t>00124</w:t>
      </w:r>
      <w:r>
        <w:rPr>
          <w:rFonts w:ascii="Garamond" w:hAnsi="Garamond"/>
          <w:sz w:val="22"/>
          <w:szCs w:val="22"/>
        </w:rPr>
        <w:t xml:space="preserve">; </w:t>
      </w:r>
      <w:proofErr w:type="gramStart"/>
      <w:r>
        <w:rPr>
          <w:rFonts w:ascii="Garamond" w:hAnsi="Garamond"/>
          <w:sz w:val="22"/>
          <w:szCs w:val="22"/>
        </w:rPr>
        <w:t>P(</w:t>
      </w:r>
      <w:proofErr w:type="spellStart"/>
      <w:proofErr w:type="gramEnd"/>
      <w:r>
        <w:rPr>
          <w:rFonts w:ascii="Garamond" w:hAnsi="Garamond"/>
          <w:sz w:val="22"/>
          <w:szCs w:val="22"/>
        </w:rPr>
        <w:t>fatal|no</w:t>
      </w:r>
      <w:proofErr w:type="spellEnd"/>
      <w:r>
        <w:rPr>
          <w:rFonts w:ascii="Garamond" w:hAnsi="Garamond"/>
          <w:sz w:val="22"/>
          <w:szCs w:val="22"/>
        </w:rPr>
        <w:t xml:space="preserve"> seatbelt) = </w:t>
      </w:r>
      <w:r w:rsidRPr="0066242E">
        <w:rPr>
          <w:rFonts w:ascii="Garamond" w:hAnsi="Garamond"/>
          <w:sz w:val="22"/>
          <w:szCs w:val="22"/>
        </w:rPr>
        <w:t>1601</w:t>
      </w:r>
      <w:r>
        <w:rPr>
          <w:rFonts w:ascii="Garamond" w:hAnsi="Garamond"/>
          <w:sz w:val="22"/>
          <w:szCs w:val="22"/>
        </w:rPr>
        <w:t>/</w:t>
      </w:r>
      <w:r w:rsidRPr="0066242E">
        <w:rPr>
          <w:rFonts w:ascii="Garamond" w:hAnsi="Garamond"/>
          <w:sz w:val="22"/>
          <w:szCs w:val="22"/>
        </w:rPr>
        <w:t xml:space="preserve">164128 </w:t>
      </w:r>
      <m:oMath>
        <m:r>
          <w:rPr>
            <w:rFonts w:ascii="Cambria Math" w:hAnsi="Cambria Math"/>
            <w:sz w:val="22"/>
            <w:szCs w:val="22"/>
          </w:rPr>
          <m:t>≈</m:t>
        </m:r>
      </m:oMath>
      <w:r w:rsidRPr="0066242E">
        <w:rPr>
          <w:rFonts w:ascii="Garamond" w:hAnsi="Garamond"/>
          <w:sz w:val="22"/>
          <w:szCs w:val="22"/>
        </w:rPr>
        <w:t xml:space="preserve"> 0</w:t>
      </w:r>
      <w:r>
        <w:rPr>
          <w:rFonts w:ascii="Garamond" w:hAnsi="Garamond"/>
          <w:sz w:val="22"/>
          <w:szCs w:val="22"/>
        </w:rPr>
        <w:t>.</w:t>
      </w:r>
      <w:r w:rsidRPr="0066242E">
        <w:rPr>
          <w:rFonts w:ascii="Garamond" w:hAnsi="Garamond"/>
          <w:sz w:val="22"/>
          <w:szCs w:val="22"/>
        </w:rPr>
        <w:t>00975</w:t>
      </w:r>
    </w:p>
    <w:p w14:paraId="2C5B2E86" w14:textId="7107A84C" w:rsidR="0066242E" w:rsidRDefault="0066242E" w:rsidP="009521C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Comparing, we have </w:t>
      </w:r>
      <w:r w:rsidRPr="0066242E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.</w:t>
      </w:r>
      <w:r w:rsidRPr="0066242E">
        <w:rPr>
          <w:rFonts w:ascii="Garamond" w:hAnsi="Garamond"/>
          <w:sz w:val="22"/>
          <w:szCs w:val="22"/>
        </w:rPr>
        <w:t>00975</w:t>
      </w:r>
      <w:r>
        <w:rPr>
          <w:rFonts w:ascii="Garamond" w:hAnsi="Garamond"/>
          <w:sz w:val="22"/>
          <w:szCs w:val="22"/>
        </w:rPr>
        <w:t>/0.</w:t>
      </w:r>
      <w:r w:rsidRPr="0066242E">
        <w:rPr>
          <w:rFonts w:ascii="Garamond" w:hAnsi="Garamond"/>
          <w:sz w:val="22"/>
          <w:szCs w:val="22"/>
        </w:rPr>
        <w:t>00124</w:t>
      </w:r>
      <w:r>
        <w:rPr>
          <w:rFonts w:ascii="Garamond" w:hAnsi="Garamond"/>
          <w:sz w:val="22"/>
          <w:szCs w:val="22"/>
        </w:rPr>
        <w:t xml:space="preserve"> = 7.9 so </w:t>
      </w:r>
      <w:r w:rsidRPr="0066242E">
        <w:rPr>
          <w:rFonts w:ascii="Garamond" w:hAnsi="Garamond"/>
          <w:sz w:val="22"/>
          <w:szCs w:val="22"/>
        </w:rPr>
        <w:t xml:space="preserve">people wearing seat belts are about 8 times more likely to </w:t>
      </w:r>
      <w:r w:rsidR="00C70989">
        <w:rPr>
          <w:rFonts w:ascii="Garamond" w:hAnsi="Garamond"/>
          <w:sz w:val="22"/>
          <w:szCs w:val="22"/>
        </w:rPr>
        <w:t>survive</w:t>
      </w:r>
      <w:r w:rsidRPr="0066242E">
        <w:rPr>
          <w:rFonts w:ascii="Garamond" w:hAnsi="Garamond"/>
          <w:sz w:val="22"/>
          <w:szCs w:val="22"/>
        </w:rPr>
        <w:t xml:space="preserve"> an accident</w:t>
      </w:r>
      <w:r>
        <w:rPr>
          <w:rFonts w:ascii="Garamond" w:hAnsi="Garamond"/>
          <w:sz w:val="22"/>
          <w:szCs w:val="22"/>
        </w:rPr>
        <w:t xml:space="preserve"> </w:t>
      </w:r>
      <w:r w:rsidRPr="0066242E">
        <w:rPr>
          <w:rFonts w:ascii="Garamond" w:hAnsi="Garamond"/>
          <w:sz w:val="22"/>
          <w:szCs w:val="22"/>
        </w:rPr>
        <w:t xml:space="preserve">than those who do </w:t>
      </w:r>
      <w:r w:rsidR="00C70989">
        <w:rPr>
          <w:rFonts w:ascii="Garamond" w:hAnsi="Garamond"/>
          <w:sz w:val="22"/>
          <w:szCs w:val="22"/>
        </w:rPr>
        <w:t xml:space="preserve">not </w:t>
      </w:r>
      <w:r w:rsidRPr="0066242E">
        <w:rPr>
          <w:rFonts w:ascii="Garamond" w:hAnsi="Garamond"/>
          <w:sz w:val="22"/>
          <w:szCs w:val="22"/>
        </w:rPr>
        <w:t>wear a seat belt.</w:t>
      </w:r>
    </w:p>
    <w:p w14:paraId="03A70BE6" w14:textId="4E7A9F67" w:rsidR="0066242E" w:rsidRDefault="00442ADD" w:rsidP="00442A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Alternatively, we can find the </w:t>
      </w:r>
      <w:r w:rsidRPr="00442ADD">
        <w:rPr>
          <w:rFonts w:ascii="Garamond" w:hAnsi="Garamond"/>
          <w:i/>
          <w:sz w:val="22"/>
          <w:szCs w:val="22"/>
        </w:rPr>
        <w:t>relative</w:t>
      </w:r>
      <w:r>
        <w:rPr>
          <w:rFonts w:ascii="Garamond" w:hAnsi="Garamond"/>
          <w:sz w:val="22"/>
          <w:szCs w:val="22"/>
        </w:rPr>
        <w:t xml:space="preserve"> difference: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0.00975-0.00124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0.00975</m:t>
            </m:r>
          </m:den>
        </m:f>
        <m:r>
          <w:rPr>
            <w:rFonts w:ascii="Cambria Math" w:hAnsi="Cambria Math"/>
            <w:sz w:val="22"/>
            <w:szCs w:val="22"/>
          </w:rPr>
          <m:t>≈0.873</m:t>
        </m:r>
      </m:oMath>
      <w:r w:rsidR="00050718">
        <w:rPr>
          <w:rFonts w:ascii="Garamond" w:hAnsi="Garamond"/>
          <w:sz w:val="22"/>
          <w:szCs w:val="22"/>
        </w:rPr>
        <w:t xml:space="preserve"> meaning people who wear their seatbelts are 87.3% more likely to survive an accident</w:t>
      </w:r>
      <w:r w:rsidR="00C70989">
        <w:rPr>
          <w:rFonts w:ascii="Garamond" w:hAnsi="Garamond"/>
          <w:sz w:val="22"/>
          <w:szCs w:val="22"/>
        </w:rPr>
        <w:t xml:space="preserve"> than those who don’t</w:t>
      </w:r>
      <w:r w:rsidR="00216150">
        <w:rPr>
          <w:rFonts w:ascii="Garamond" w:hAnsi="Garamond"/>
          <w:sz w:val="22"/>
          <w:szCs w:val="22"/>
        </w:rPr>
        <w:t xml:space="preserve"> wear a seatbelt</w:t>
      </w:r>
      <w:r w:rsidR="00C70989">
        <w:rPr>
          <w:rFonts w:ascii="Garamond" w:hAnsi="Garamond"/>
          <w:sz w:val="22"/>
          <w:szCs w:val="22"/>
        </w:rPr>
        <w:t xml:space="preserve">. </w:t>
      </w:r>
    </w:p>
    <w:p w14:paraId="51420729" w14:textId="77777777" w:rsidR="001D70E2" w:rsidRDefault="001D70E2" w:rsidP="00442ADD">
      <w:pPr>
        <w:rPr>
          <w:rFonts w:ascii="Garamond" w:hAnsi="Garamond"/>
          <w:sz w:val="22"/>
          <w:szCs w:val="22"/>
        </w:rPr>
      </w:pPr>
    </w:p>
    <w:p w14:paraId="0FFD51E4" w14:textId="761DF6B1" w:rsidR="00470073" w:rsidRDefault="0047007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Examples: see coffee study and dementia (discussed in class)</w:t>
      </w:r>
      <w:r w:rsidR="001D70E2">
        <w:rPr>
          <w:rFonts w:ascii="Garamond" w:hAnsi="Garamond"/>
          <w:sz w:val="22"/>
          <w:szCs w:val="22"/>
        </w:rPr>
        <w:t xml:space="preserve"> or smallpox quiz</w:t>
      </w:r>
      <w:r>
        <w:rPr>
          <w:rFonts w:ascii="Garamond" w:hAnsi="Garamond"/>
          <w:sz w:val="22"/>
          <w:szCs w:val="22"/>
        </w:rPr>
        <w:t>.</w:t>
      </w:r>
    </w:p>
    <w:p w14:paraId="508F6231" w14:textId="45E5D428" w:rsidR="00FC303D" w:rsidRDefault="0066242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2A19AAFA" w14:textId="77777777" w:rsidR="00FC303D" w:rsidRDefault="00FC303D">
      <w:pPr>
        <w:rPr>
          <w:rFonts w:ascii="Garamond" w:hAnsi="Garamond"/>
          <w:sz w:val="22"/>
          <w:szCs w:val="22"/>
        </w:rPr>
      </w:pPr>
    </w:p>
    <w:p w14:paraId="708BFD52" w14:textId="3D8D3800" w:rsidR="001D70E2" w:rsidRDefault="001D70E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6DAA1B95" w14:textId="77777777" w:rsidR="00CC7CD2" w:rsidRPr="00D46267" w:rsidRDefault="00CC7CD2">
      <w:pPr>
        <w:rPr>
          <w:rFonts w:ascii="Garamond" w:hAnsi="Garamond"/>
          <w:sz w:val="22"/>
          <w:szCs w:val="22"/>
        </w:rPr>
      </w:pPr>
    </w:p>
    <w:p w14:paraId="08229DB6" w14:textId="70B2A73F" w:rsidR="00344221" w:rsidRPr="006D4E8E" w:rsidRDefault="006C5EBB">
      <w:pPr>
        <w:rPr>
          <w:rFonts w:ascii="Garamond" w:hAnsi="Garamond"/>
          <w:b/>
          <w:sz w:val="22"/>
          <w:szCs w:val="22"/>
        </w:rPr>
      </w:pPr>
      <w:r w:rsidRPr="006D4E8E">
        <w:rPr>
          <w:rFonts w:ascii="Garamond" w:hAnsi="Garamond"/>
          <w:b/>
          <w:sz w:val="22"/>
          <w:szCs w:val="22"/>
        </w:rPr>
        <w:t xml:space="preserve">Q </w:t>
      </w:r>
      <w:r w:rsidR="0051103A" w:rsidRPr="006D4E8E">
        <w:rPr>
          <w:rFonts w:ascii="Garamond" w:hAnsi="Garamond"/>
          <w:b/>
          <w:sz w:val="22"/>
          <w:szCs w:val="22"/>
        </w:rPr>
        <w:sym w:font="Symbol" w:char="F0AE"/>
      </w:r>
      <w:r w:rsidR="0051103A" w:rsidRPr="006D4E8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6D4E8E">
        <w:rPr>
          <w:rFonts w:ascii="Garamond" w:hAnsi="Garamond"/>
          <w:b/>
          <w:sz w:val="22"/>
          <w:szCs w:val="22"/>
        </w:rPr>
        <w:t>Q</w:t>
      </w:r>
      <w:proofErr w:type="spellEnd"/>
    </w:p>
    <w:p w14:paraId="072EC629" w14:textId="77777777" w:rsidR="006C5EBB" w:rsidRPr="00D46267" w:rsidRDefault="006C5EBB">
      <w:pPr>
        <w:rPr>
          <w:rFonts w:ascii="Garamond" w:hAnsi="Garamond"/>
          <w:sz w:val="22"/>
          <w:szCs w:val="22"/>
        </w:rPr>
      </w:pPr>
    </w:p>
    <w:p w14:paraId="43699BEC" w14:textId="60E1F238" w:rsidR="00903FAD" w:rsidRDefault="00E5604A" w:rsidP="00E5604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Scatter plots and </w:t>
      </w:r>
      <w:r w:rsidR="00B21C1D" w:rsidRPr="00D46267">
        <w:rPr>
          <w:rFonts w:ascii="Garamond" w:hAnsi="Garamond"/>
          <w:sz w:val="22"/>
          <w:szCs w:val="22"/>
        </w:rPr>
        <w:t>Linear Regression</w:t>
      </w:r>
      <w:r w:rsidR="00903FAD">
        <w:rPr>
          <w:rFonts w:ascii="Garamond" w:hAnsi="Garamond"/>
          <w:sz w:val="22"/>
          <w:szCs w:val="22"/>
        </w:rPr>
        <w:t>. B</w:t>
      </w:r>
      <w:r w:rsidR="00903FAD" w:rsidRPr="00903FAD">
        <w:rPr>
          <w:rFonts w:ascii="Garamond" w:hAnsi="Garamond"/>
          <w:sz w:val="22"/>
          <w:szCs w:val="22"/>
        </w:rPr>
        <w:t>oth variables (in particular the explanatory variable) are quantitative</w:t>
      </w:r>
      <w:r w:rsidR="00447EC8">
        <w:rPr>
          <w:rFonts w:ascii="Garamond" w:hAnsi="Garamond"/>
          <w:sz w:val="22"/>
          <w:szCs w:val="22"/>
        </w:rPr>
        <w:t xml:space="preserve"> and paired</w:t>
      </w:r>
      <w:r w:rsidR="005B22AB">
        <w:rPr>
          <w:rFonts w:ascii="Garamond" w:hAnsi="Garamond"/>
          <w:sz w:val="22"/>
          <w:szCs w:val="22"/>
        </w:rPr>
        <w:t>.</w:t>
      </w:r>
    </w:p>
    <w:p w14:paraId="12B1EC26" w14:textId="09BB4E9B" w:rsidR="00BF3613" w:rsidRDefault="00BF3613" w:rsidP="00BF3613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D46267">
        <w:rPr>
          <w:rFonts w:ascii="Garamond" w:hAnsi="Garamond"/>
          <w:sz w:val="22"/>
          <w:szCs w:val="22"/>
        </w:rPr>
        <w:t>Identify the explanatory</w:t>
      </w:r>
      <w:r>
        <w:rPr>
          <w:rFonts w:ascii="Garamond" w:hAnsi="Garamond"/>
          <w:sz w:val="22"/>
          <w:szCs w:val="22"/>
        </w:rPr>
        <w:t xml:space="preserve"> variable and use this as the horizontal axis (</w:t>
      </w:r>
      <w:r w:rsidRPr="00BF3613">
        <w:rPr>
          <w:rFonts w:ascii="Garamond" w:hAnsi="Garamond"/>
          <w:i/>
          <w:sz w:val="22"/>
          <w:szCs w:val="22"/>
        </w:rPr>
        <w:t>x</w:t>
      </w:r>
      <w:r>
        <w:rPr>
          <w:rFonts w:ascii="Garamond" w:hAnsi="Garamond"/>
          <w:sz w:val="22"/>
          <w:szCs w:val="22"/>
        </w:rPr>
        <w:t>-axis)</w:t>
      </w:r>
    </w:p>
    <w:p w14:paraId="6A1CFDF1" w14:textId="47B069C2" w:rsidR="007C1249" w:rsidRDefault="00447EC8" w:rsidP="00BF3613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Graph the data as a scatterplot and identify</w:t>
      </w:r>
      <w:r w:rsidR="00A8335A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4893747E" w14:textId="77777777" w:rsidR="007C1249" w:rsidRDefault="007C1249" w:rsidP="007C1249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Direction (+/–)</w:t>
      </w:r>
    </w:p>
    <w:p w14:paraId="68101338" w14:textId="77777777" w:rsidR="007C1249" w:rsidRDefault="00447EC8" w:rsidP="007C1249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</w:t>
      </w:r>
      <w:r w:rsidR="007C1249">
        <w:rPr>
          <w:rFonts w:ascii="Garamond" w:hAnsi="Garamond"/>
          <w:sz w:val="22"/>
          <w:szCs w:val="22"/>
        </w:rPr>
        <w:t xml:space="preserve"> (Linear/Curvilinear)</w:t>
      </w:r>
    </w:p>
    <w:p w14:paraId="71C35278" w14:textId="55D61E34" w:rsidR="00447EC8" w:rsidRDefault="007C1249" w:rsidP="007C1249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7C124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Strength (strong/moderate/weak)</w:t>
      </w:r>
    </w:p>
    <w:p w14:paraId="12518BDB" w14:textId="02E59524" w:rsidR="00A8335A" w:rsidRDefault="00A8335A" w:rsidP="007C1249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Outliers</w:t>
      </w:r>
    </w:p>
    <w:p w14:paraId="51896BFF" w14:textId="77777777" w:rsidR="00A8335A" w:rsidRDefault="00A8335A" w:rsidP="00A833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 graphs with linear form find regression formula</w:t>
      </w:r>
    </w:p>
    <w:p w14:paraId="3C973CC7" w14:textId="757FB2D3" w:rsidR="00A8335A" w:rsidRDefault="00A8335A" w:rsidP="00A8335A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Identify and interpret growth (or decay) rate (slope) and initial value (response intercept).</w:t>
      </w:r>
    </w:p>
    <w:p w14:paraId="5D26E18E" w14:textId="757A4447" w:rsidR="00A8335A" w:rsidRDefault="006C038A" w:rsidP="00A8335A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Recognize </w:t>
      </w:r>
      <w:r w:rsidR="002B0090" w:rsidRPr="002B0090">
        <w:rPr>
          <w:rFonts w:ascii="Garamond" w:hAnsi="Garamond"/>
          <w:i/>
          <w:sz w:val="22"/>
          <w:szCs w:val="22"/>
        </w:rPr>
        <w:t>C</w:t>
      </w:r>
      <w:r w:rsidRPr="002B0090">
        <w:rPr>
          <w:rFonts w:ascii="Garamond" w:hAnsi="Garamond"/>
          <w:i/>
          <w:sz w:val="22"/>
          <w:szCs w:val="22"/>
        </w:rPr>
        <w:t xml:space="preserve">orrelation </w:t>
      </w:r>
      <w:r w:rsidR="002B0090" w:rsidRPr="002B0090">
        <w:rPr>
          <w:rFonts w:ascii="Garamond" w:hAnsi="Garamond"/>
          <w:i/>
          <w:sz w:val="22"/>
          <w:szCs w:val="22"/>
        </w:rPr>
        <w:t>C</w:t>
      </w:r>
      <w:r w:rsidRPr="002B0090">
        <w:rPr>
          <w:rFonts w:ascii="Garamond" w:hAnsi="Garamond"/>
          <w:i/>
          <w:sz w:val="22"/>
          <w:szCs w:val="22"/>
        </w:rPr>
        <w:t>oefficient</w:t>
      </w:r>
      <w:r>
        <w:rPr>
          <w:rFonts w:ascii="Garamond" w:hAnsi="Garamond"/>
          <w:sz w:val="22"/>
          <w:szCs w:val="22"/>
        </w:rPr>
        <w:t xml:space="preserve"> (</w:t>
      </w:r>
      <w:r w:rsidRPr="006C038A">
        <w:rPr>
          <w:rFonts w:ascii="Garamond" w:hAnsi="Garamond"/>
          <w:i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) as a measure of how well the line approximates the data.</w:t>
      </w:r>
    </w:p>
    <w:p w14:paraId="6BBBACA2" w14:textId="78DECE7C" w:rsidR="006C038A" w:rsidRDefault="002B0090" w:rsidP="00A8335A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Recognize </w:t>
      </w:r>
      <w:r w:rsidRPr="002B0090">
        <w:rPr>
          <w:rFonts w:ascii="Garamond" w:hAnsi="Garamond"/>
          <w:i/>
          <w:sz w:val="22"/>
          <w:szCs w:val="22"/>
        </w:rPr>
        <w:t>Coefficient of Determination</w:t>
      </w:r>
      <w:r>
        <w:rPr>
          <w:rFonts w:ascii="Garamond" w:hAnsi="Garamond"/>
          <w:sz w:val="22"/>
          <w:szCs w:val="22"/>
        </w:rPr>
        <w:t xml:space="preserve"> (</w:t>
      </w:r>
      <w:r w:rsidRPr="006C038A">
        <w:rPr>
          <w:rFonts w:ascii="Garamond" w:hAnsi="Garamond"/>
          <w:i/>
          <w:sz w:val="22"/>
          <w:szCs w:val="22"/>
        </w:rPr>
        <w:t>r</w:t>
      </w:r>
      <w:r w:rsidRPr="002B0090">
        <w:rPr>
          <w:rFonts w:ascii="Garamond" w:hAnsi="Garamond"/>
          <w:i/>
          <w:sz w:val="22"/>
          <w:szCs w:val="22"/>
          <w:vertAlign w:val="superscript"/>
        </w:rPr>
        <w:t>2</w:t>
      </w:r>
      <w:r>
        <w:rPr>
          <w:rFonts w:ascii="Garamond" w:hAnsi="Garamond"/>
          <w:sz w:val="22"/>
          <w:szCs w:val="22"/>
        </w:rPr>
        <w:t>) as a measure of the percentage of variability in the response variable that can be explained by a linear relationship with the explanatory variable.</w:t>
      </w:r>
    </w:p>
    <w:p w14:paraId="0AF194A0" w14:textId="105F92BE" w:rsidR="00B21C1D" w:rsidRPr="001D70E2" w:rsidRDefault="008E7CC9" w:rsidP="001D70E2">
      <w:pPr>
        <w:pStyle w:val="ListParagraph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the linear model as a tool for predicting data values within the bounds of the data (interpolation) and beware using the model as a predictive tool beyond the bounds of the data (extrapolation). In particular, be wary of using the response intercept as a prediction as it is often outside the data set.</w:t>
      </w:r>
    </w:p>
    <w:p w14:paraId="196C3DCC" w14:textId="20DF0D2E" w:rsidR="006001A7" w:rsidRPr="00D46267" w:rsidRDefault="006001A7">
      <w:pPr>
        <w:rPr>
          <w:rFonts w:ascii="Garamond" w:hAnsi="Garamond"/>
          <w:sz w:val="22"/>
          <w:szCs w:val="22"/>
        </w:rPr>
      </w:pPr>
    </w:p>
    <w:p w14:paraId="3A0859AF" w14:textId="5C2DA8FB" w:rsidR="00B21C1D" w:rsidRPr="00D46267" w:rsidRDefault="006D27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Note:</w:t>
      </w:r>
    </w:p>
    <w:p w14:paraId="0B91A842" w14:textId="09710891" w:rsidR="00250E6A" w:rsidRPr="00D46267" w:rsidRDefault="00250E6A">
      <w:pPr>
        <w:rPr>
          <w:rFonts w:ascii="Garamond" w:hAnsi="Garamond"/>
          <w:sz w:val="22"/>
          <w:szCs w:val="22"/>
        </w:rPr>
      </w:pPr>
      <w:r w:rsidRPr="00D46267">
        <w:rPr>
          <w:rFonts w:ascii="Garamond" w:hAnsi="Garamond"/>
          <w:noProof/>
          <w:sz w:val="22"/>
          <w:szCs w:val="22"/>
        </w:rPr>
        <w:drawing>
          <wp:inline distT="0" distB="0" distL="0" distR="0" wp14:anchorId="4C40AA85" wp14:editId="04228F7B">
            <wp:extent cx="994611" cy="10496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4 at 10.51.2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08" cy="10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267">
        <w:rPr>
          <w:rFonts w:ascii="Garamond" w:hAnsi="Garamond"/>
          <w:sz w:val="22"/>
          <w:szCs w:val="22"/>
        </w:rPr>
        <w:t>Has r ~ 0 but has a strong association.</w:t>
      </w:r>
    </w:p>
    <w:p w14:paraId="3CE71DDA" w14:textId="77777777" w:rsidR="00250E6A" w:rsidRPr="00D46267" w:rsidRDefault="00250E6A">
      <w:pPr>
        <w:rPr>
          <w:rFonts w:ascii="Garamond" w:hAnsi="Garamond"/>
          <w:sz w:val="22"/>
          <w:szCs w:val="22"/>
        </w:rPr>
      </w:pPr>
    </w:p>
    <w:p w14:paraId="75CC8F3A" w14:textId="77777777" w:rsidR="00B21C1D" w:rsidRPr="00D46267" w:rsidRDefault="00B21C1D">
      <w:pPr>
        <w:rPr>
          <w:rFonts w:ascii="Garamond" w:hAnsi="Garamond"/>
          <w:sz w:val="22"/>
          <w:szCs w:val="22"/>
        </w:rPr>
      </w:pPr>
    </w:p>
    <w:p w14:paraId="1FA8FDF2" w14:textId="2212B2A8" w:rsidR="00EB36EF" w:rsidRDefault="006D27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Examples include posted examples and the car project.</w:t>
      </w:r>
    </w:p>
    <w:p w14:paraId="425CA987" w14:textId="77E0795B" w:rsidR="009C7E2B" w:rsidRDefault="009C7E2B">
      <w:pPr>
        <w:rPr>
          <w:rFonts w:ascii="Garamond" w:hAnsi="Garamond"/>
          <w:sz w:val="22"/>
          <w:szCs w:val="22"/>
        </w:rPr>
      </w:pPr>
    </w:p>
    <w:p w14:paraId="799C85AD" w14:textId="04C1342A" w:rsidR="009C7E2B" w:rsidRDefault="009C7E2B">
      <w:pPr>
        <w:rPr>
          <w:rFonts w:ascii="Garamond" w:hAnsi="Garamond"/>
          <w:sz w:val="22"/>
          <w:szCs w:val="22"/>
        </w:rPr>
      </w:pPr>
    </w:p>
    <w:p w14:paraId="02FADB8B" w14:textId="6CC52462" w:rsidR="009C7E2B" w:rsidRDefault="009C7E2B">
      <w:pPr>
        <w:rPr>
          <w:rFonts w:ascii="Garamond" w:hAnsi="Garamond"/>
          <w:sz w:val="22"/>
          <w:szCs w:val="22"/>
        </w:rPr>
      </w:pPr>
    </w:p>
    <w:p w14:paraId="6211A8FB" w14:textId="5A8C8CCF" w:rsidR="009C7E2B" w:rsidRDefault="009C7E2B">
      <w:pPr>
        <w:rPr>
          <w:rFonts w:ascii="Garamond" w:hAnsi="Garamond"/>
          <w:sz w:val="22"/>
          <w:szCs w:val="22"/>
        </w:rPr>
      </w:pPr>
    </w:p>
    <w:p w14:paraId="5D02C30E" w14:textId="4E01D277" w:rsidR="009C7E2B" w:rsidRDefault="009C7E2B">
      <w:pPr>
        <w:rPr>
          <w:rFonts w:ascii="Garamond" w:hAnsi="Garamond"/>
          <w:sz w:val="22"/>
          <w:szCs w:val="22"/>
        </w:rPr>
      </w:pPr>
    </w:p>
    <w:p w14:paraId="36F40C07" w14:textId="403E7687" w:rsidR="009C7E2B" w:rsidRPr="009C7E2B" w:rsidRDefault="009C7E2B">
      <w:pPr>
        <w:rPr>
          <w:rFonts w:ascii="Garamond" w:hAnsi="Garamond"/>
          <w:b/>
          <w:sz w:val="22"/>
          <w:szCs w:val="22"/>
        </w:rPr>
      </w:pPr>
      <w:r w:rsidRPr="009C7E2B">
        <w:rPr>
          <w:rFonts w:ascii="Garamond" w:hAnsi="Garamond"/>
          <w:b/>
          <w:sz w:val="22"/>
          <w:szCs w:val="22"/>
        </w:rPr>
        <w:t>Causation and Lurking Variables</w:t>
      </w:r>
    </w:p>
    <w:p w14:paraId="180E92BD" w14:textId="77777777" w:rsidR="009C7E2B" w:rsidRPr="009C7E2B" w:rsidRDefault="009C7E2B" w:rsidP="009C7E2B">
      <w:pPr>
        <w:rPr>
          <w:rFonts w:ascii="Garamond" w:hAnsi="Garamond"/>
          <w:sz w:val="22"/>
          <w:szCs w:val="22"/>
        </w:rPr>
      </w:pPr>
      <w:r w:rsidRPr="009C7E2B">
        <w:rPr>
          <w:rFonts w:ascii="Garamond" w:hAnsi="Garamond"/>
          <w:sz w:val="22"/>
          <w:szCs w:val="22"/>
        </w:rPr>
        <w:t xml:space="preserve">When we explore the relationship between two variables, there is often a temptation to conclude from the observed relationship that changes in the explanatory variable </w:t>
      </w:r>
      <w:r w:rsidRPr="009C7E2B">
        <w:rPr>
          <w:rFonts w:ascii="Garamond" w:hAnsi="Garamond"/>
          <w:i/>
          <w:iCs/>
          <w:sz w:val="22"/>
          <w:szCs w:val="22"/>
        </w:rPr>
        <w:t>cause</w:t>
      </w:r>
      <w:r w:rsidRPr="009C7E2B">
        <w:rPr>
          <w:rFonts w:ascii="Garamond" w:hAnsi="Garamond"/>
          <w:sz w:val="22"/>
          <w:szCs w:val="22"/>
        </w:rPr>
        <w:t xml:space="preserve"> changes in the response variable.</w:t>
      </w:r>
    </w:p>
    <w:p w14:paraId="202F938F" w14:textId="23B03989" w:rsidR="009C7E2B" w:rsidRDefault="009C7E2B" w:rsidP="009C7E2B">
      <w:pPr>
        <w:rPr>
          <w:rFonts w:ascii="Garamond" w:hAnsi="Garamond"/>
          <w:sz w:val="22"/>
          <w:szCs w:val="22"/>
        </w:rPr>
      </w:pPr>
      <w:r w:rsidRPr="009C7E2B">
        <w:rPr>
          <w:rFonts w:ascii="Garamond" w:hAnsi="Garamond"/>
          <w:sz w:val="22"/>
          <w:szCs w:val="22"/>
        </w:rPr>
        <w:t xml:space="preserve">Association </w:t>
      </w:r>
      <w:r w:rsidRPr="009C7E2B">
        <w:rPr>
          <w:rFonts w:ascii="Garamond" w:hAnsi="Garamond"/>
          <w:i/>
          <w:iCs/>
          <w:sz w:val="22"/>
          <w:szCs w:val="22"/>
        </w:rPr>
        <w:t>does not</w:t>
      </w:r>
      <w:r w:rsidRPr="009C7E2B">
        <w:rPr>
          <w:rFonts w:ascii="Garamond" w:hAnsi="Garamond"/>
          <w:sz w:val="22"/>
          <w:szCs w:val="22"/>
        </w:rPr>
        <w:t xml:space="preserve"> imply causation!</w:t>
      </w:r>
    </w:p>
    <w:p w14:paraId="3A9BFB90" w14:textId="70F2278E" w:rsidR="009C7E2B" w:rsidRDefault="009C7E2B" w:rsidP="009C7E2B">
      <w:pPr>
        <w:rPr>
          <w:rFonts w:ascii="Garamond" w:hAnsi="Garamond"/>
          <w:sz w:val="22"/>
          <w:szCs w:val="22"/>
        </w:rPr>
      </w:pPr>
    </w:p>
    <w:p w14:paraId="14E46F32" w14:textId="3F9D48AF" w:rsidR="00F90041" w:rsidRDefault="009505A5" w:rsidP="009C7E2B">
      <w:pPr>
        <w:rPr>
          <w:rFonts w:ascii="Garamond" w:hAnsi="Garamond"/>
          <w:sz w:val="22"/>
          <w:szCs w:val="22"/>
        </w:rPr>
      </w:pPr>
      <w:r w:rsidRPr="009505A5">
        <w:rPr>
          <w:rFonts w:ascii="Garamond" w:hAnsi="Garamond"/>
          <w:i/>
          <w:sz w:val="22"/>
          <w:szCs w:val="22"/>
        </w:rPr>
        <w:t>Confounding</w:t>
      </w:r>
      <w:r>
        <w:rPr>
          <w:rFonts w:ascii="Garamond" w:hAnsi="Garamond"/>
          <w:sz w:val="22"/>
          <w:szCs w:val="22"/>
        </w:rPr>
        <w:t xml:space="preserve"> and </w:t>
      </w:r>
      <w:r w:rsidRPr="009505A5">
        <w:rPr>
          <w:rFonts w:ascii="Garamond" w:hAnsi="Garamond"/>
          <w:i/>
          <w:sz w:val="22"/>
          <w:szCs w:val="22"/>
        </w:rPr>
        <w:t>lurking</w:t>
      </w:r>
      <w:r>
        <w:rPr>
          <w:rFonts w:ascii="Garamond" w:hAnsi="Garamond"/>
          <w:sz w:val="22"/>
          <w:szCs w:val="22"/>
        </w:rPr>
        <w:t xml:space="preserve"> variables both affect the response variable in such a way as to suggest a causative relationship with the explanatory variable. Examples like the firefighters and fire damage or</w:t>
      </w:r>
      <w:r w:rsidR="006609FB">
        <w:rPr>
          <w:rFonts w:ascii="Garamond" w:hAnsi="Garamond"/>
          <w:sz w:val="22"/>
          <w:szCs w:val="22"/>
        </w:rPr>
        <w:t xml:space="preserve"> fat consumption and lifespan (from class) are good examples.</w:t>
      </w:r>
      <w:r w:rsidR="00007E04">
        <w:rPr>
          <w:rFonts w:ascii="Garamond" w:hAnsi="Garamond"/>
          <w:sz w:val="22"/>
          <w:szCs w:val="22"/>
        </w:rPr>
        <w:t xml:space="preserve"> </w:t>
      </w:r>
      <w:proofErr w:type="gramStart"/>
      <w:r w:rsidR="00007E04">
        <w:rPr>
          <w:rFonts w:ascii="Garamond" w:hAnsi="Garamond"/>
          <w:sz w:val="22"/>
          <w:szCs w:val="22"/>
        </w:rPr>
        <w:t>Typically</w:t>
      </w:r>
      <w:proofErr w:type="gramEnd"/>
      <w:r w:rsidR="00007E04">
        <w:rPr>
          <w:rFonts w:ascii="Garamond" w:hAnsi="Garamond"/>
          <w:sz w:val="22"/>
          <w:szCs w:val="22"/>
        </w:rPr>
        <w:t xml:space="preserve"> things like wealth, age, or degree of extremity act as confounding variables.</w:t>
      </w:r>
    </w:p>
    <w:p w14:paraId="1BCE09B9" w14:textId="4A57AE63" w:rsidR="006609FB" w:rsidRDefault="006609FB" w:rsidP="009C7E2B">
      <w:pPr>
        <w:rPr>
          <w:rFonts w:ascii="Garamond" w:hAnsi="Garamond"/>
          <w:sz w:val="22"/>
          <w:szCs w:val="22"/>
        </w:rPr>
      </w:pPr>
    </w:p>
    <w:p w14:paraId="20C9DDF0" w14:textId="7B540F15" w:rsidR="006609FB" w:rsidRDefault="006609FB" w:rsidP="009C7E2B">
      <w:pPr>
        <w:rPr>
          <w:rFonts w:ascii="Garamond" w:hAnsi="Garamond"/>
          <w:sz w:val="22"/>
          <w:szCs w:val="22"/>
        </w:rPr>
      </w:pPr>
    </w:p>
    <w:p w14:paraId="699D3F1C" w14:textId="508B1287" w:rsidR="002D08DE" w:rsidRDefault="002D08DE" w:rsidP="009C7E2B">
      <w:pPr>
        <w:rPr>
          <w:rFonts w:ascii="Garamond" w:hAnsi="Garamond"/>
          <w:sz w:val="22"/>
          <w:szCs w:val="22"/>
        </w:rPr>
      </w:pPr>
    </w:p>
    <w:p w14:paraId="49DDA5C6" w14:textId="6B55AAD5" w:rsidR="00006278" w:rsidRPr="004C558E" w:rsidRDefault="002D08DE" w:rsidP="009C7E2B">
      <w:pPr>
        <w:rPr>
          <w:rFonts w:ascii="Garamond" w:hAnsi="Garamond"/>
          <w:b/>
          <w:sz w:val="22"/>
          <w:szCs w:val="22"/>
        </w:rPr>
      </w:pPr>
      <w:r w:rsidRPr="002D08DE">
        <w:rPr>
          <w:rFonts w:ascii="Garamond" w:hAnsi="Garamond"/>
          <w:b/>
          <w:sz w:val="22"/>
          <w:szCs w:val="22"/>
        </w:rPr>
        <w:t>Simpson’s Paradox</w:t>
      </w:r>
    </w:p>
    <w:p w14:paraId="7EE76CA3" w14:textId="6A6A7B93" w:rsidR="004C558E" w:rsidRDefault="004C558E" w:rsidP="009C7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Associations between variables that reverse their implication depending on whether data are aggregated or treated separately fall into the category of Simpson’s Paradox. </w:t>
      </w:r>
    </w:p>
    <w:p w14:paraId="115C01AC" w14:textId="5087A590" w:rsidR="002D08DE" w:rsidRDefault="002D08DE" w:rsidP="009C7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Recall the example from class </w:t>
      </w:r>
      <w:r w:rsidR="000D7B27">
        <w:rPr>
          <w:rFonts w:ascii="Garamond" w:hAnsi="Garamond"/>
          <w:sz w:val="22"/>
          <w:szCs w:val="22"/>
        </w:rPr>
        <w:t>involving UC Berkeley</w:t>
      </w:r>
      <w:r w:rsidR="00006278">
        <w:rPr>
          <w:rFonts w:ascii="Garamond" w:hAnsi="Garamond"/>
          <w:sz w:val="22"/>
          <w:szCs w:val="22"/>
        </w:rPr>
        <w:t xml:space="preserve"> graduate schools</w:t>
      </w:r>
      <w:r w:rsidR="000D7B27">
        <w:rPr>
          <w:rFonts w:ascii="Garamond" w:hAnsi="Garamond"/>
          <w:sz w:val="22"/>
          <w:szCs w:val="22"/>
        </w:rPr>
        <w:t xml:space="preserve"> and </w:t>
      </w:r>
      <w:r w:rsidR="00006278">
        <w:rPr>
          <w:rFonts w:ascii="Garamond" w:hAnsi="Garamond"/>
          <w:sz w:val="22"/>
          <w:szCs w:val="22"/>
        </w:rPr>
        <w:t>the disparate admissions rates for men and women.</w:t>
      </w:r>
    </w:p>
    <w:p w14:paraId="039E9F21" w14:textId="77777777" w:rsidR="009C7E2B" w:rsidRDefault="009C7E2B" w:rsidP="009C7E2B">
      <w:pPr>
        <w:rPr>
          <w:rFonts w:ascii="Garamond" w:hAnsi="Garamond"/>
          <w:sz w:val="22"/>
          <w:szCs w:val="22"/>
        </w:rPr>
      </w:pPr>
    </w:p>
    <w:p w14:paraId="7026BABC" w14:textId="77777777" w:rsidR="009C7E2B" w:rsidRPr="009C7E2B" w:rsidRDefault="009C7E2B" w:rsidP="009C7E2B">
      <w:pPr>
        <w:rPr>
          <w:rFonts w:ascii="Garamond" w:hAnsi="Garamond"/>
          <w:sz w:val="22"/>
          <w:szCs w:val="22"/>
        </w:rPr>
      </w:pPr>
    </w:p>
    <w:p w14:paraId="3755E266" w14:textId="77F3A14B" w:rsidR="009C7E2B" w:rsidRPr="00D46267" w:rsidRDefault="006609F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Examples: See Causation LBD </w:t>
      </w:r>
      <w:r w:rsidR="00E17EBF">
        <w:rPr>
          <w:rFonts w:ascii="Garamond" w:hAnsi="Garamond"/>
          <w:sz w:val="22"/>
          <w:szCs w:val="22"/>
        </w:rPr>
        <w:t xml:space="preserve">(both) </w:t>
      </w:r>
      <w:r>
        <w:rPr>
          <w:rFonts w:ascii="Garamond" w:hAnsi="Garamond"/>
          <w:sz w:val="22"/>
          <w:szCs w:val="22"/>
        </w:rPr>
        <w:t>on OLI and class examples.</w:t>
      </w:r>
    </w:p>
    <w:sectPr w:rsidR="009C7E2B" w:rsidRPr="00D46267" w:rsidSect="001D30AE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17B"/>
    <w:multiLevelType w:val="hybridMultilevel"/>
    <w:tmpl w:val="231A1A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BC48F7"/>
    <w:multiLevelType w:val="hybridMultilevel"/>
    <w:tmpl w:val="BA6E7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E6CAE"/>
    <w:multiLevelType w:val="hybridMultilevel"/>
    <w:tmpl w:val="42A41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17BE9"/>
    <w:multiLevelType w:val="hybridMultilevel"/>
    <w:tmpl w:val="129E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AE6"/>
    <w:multiLevelType w:val="hybridMultilevel"/>
    <w:tmpl w:val="85EC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E23BF"/>
    <w:multiLevelType w:val="hybridMultilevel"/>
    <w:tmpl w:val="0744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E6"/>
    <w:rsid w:val="00006278"/>
    <w:rsid w:val="00007E04"/>
    <w:rsid w:val="00050718"/>
    <w:rsid w:val="00067440"/>
    <w:rsid w:val="000B7CF3"/>
    <w:rsid w:val="000D7B27"/>
    <w:rsid w:val="00155222"/>
    <w:rsid w:val="001D30AE"/>
    <w:rsid w:val="001D70E2"/>
    <w:rsid w:val="00216150"/>
    <w:rsid w:val="00250E6A"/>
    <w:rsid w:val="002B0090"/>
    <w:rsid w:val="002D08DE"/>
    <w:rsid w:val="002D4166"/>
    <w:rsid w:val="00305797"/>
    <w:rsid w:val="00344221"/>
    <w:rsid w:val="003627BD"/>
    <w:rsid w:val="003C2710"/>
    <w:rsid w:val="0044096C"/>
    <w:rsid w:val="00442ADD"/>
    <w:rsid w:val="00447EC8"/>
    <w:rsid w:val="00470073"/>
    <w:rsid w:val="00485045"/>
    <w:rsid w:val="004B1C93"/>
    <w:rsid w:val="004C558E"/>
    <w:rsid w:val="0051103A"/>
    <w:rsid w:val="00511A9E"/>
    <w:rsid w:val="00520FBA"/>
    <w:rsid w:val="00590E12"/>
    <w:rsid w:val="005B22AB"/>
    <w:rsid w:val="005E04E5"/>
    <w:rsid w:val="006001A7"/>
    <w:rsid w:val="00647729"/>
    <w:rsid w:val="006609FB"/>
    <w:rsid w:val="0066242E"/>
    <w:rsid w:val="00664EF8"/>
    <w:rsid w:val="006C038A"/>
    <w:rsid w:val="006C0CCC"/>
    <w:rsid w:val="006C5EBB"/>
    <w:rsid w:val="006D2726"/>
    <w:rsid w:val="006D4E8E"/>
    <w:rsid w:val="007C1249"/>
    <w:rsid w:val="00815621"/>
    <w:rsid w:val="008244F8"/>
    <w:rsid w:val="008E7CC9"/>
    <w:rsid w:val="00903FAD"/>
    <w:rsid w:val="009505A5"/>
    <w:rsid w:val="009521C4"/>
    <w:rsid w:val="00985561"/>
    <w:rsid w:val="009C7E2B"/>
    <w:rsid w:val="00A749E6"/>
    <w:rsid w:val="00A76D09"/>
    <w:rsid w:val="00A8335A"/>
    <w:rsid w:val="00AA1573"/>
    <w:rsid w:val="00AA595A"/>
    <w:rsid w:val="00B21C1D"/>
    <w:rsid w:val="00B40954"/>
    <w:rsid w:val="00B90685"/>
    <w:rsid w:val="00BF3613"/>
    <w:rsid w:val="00C2332C"/>
    <w:rsid w:val="00C70989"/>
    <w:rsid w:val="00C90098"/>
    <w:rsid w:val="00CC7CD2"/>
    <w:rsid w:val="00D46267"/>
    <w:rsid w:val="00D50ACE"/>
    <w:rsid w:val="00D57888"/>
    <w:rsid w:val="00DF5818"/>
    <w:rsid w:val="00E17EBF"/>
    <w:rsid w:val="00E5604A"/>
    <w:rsid w:val="00E9277F"/>
    <w:rsid w:val="00EB36EF"/>
    <w:rsid w:val="00F670E0"/>
    <w:rsid w:val="00F90041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7C0C8"/>
  <w14:defaultImageDpi w14:val="32767"/>
  <w15:chartTrackingRefBased/>
  <w15:docId w15:val="{2772D0E7-2604-4847-97E2-7EB3153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0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98"/>
    <w:pPr>
      <w:ind w:left="720"/>
      <w:contextualSpacing/>
    </w:pPr>
  </w:style>
  <w:style w:type="table" w:styleId="TableGrid">
    <w:name w:val="Table Grid"/>
    <w:basedOn w:val="TableNormal"/>
    <w:uiPriority w:val="39"/>
    <w:rsid w:val="0048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Jon</dc:creator>
  <cp:keywords/>
  <dc:description/>
  <cp:lastModifiedBy>Freedman, Jon</cp:lastModifiedBy>
  <cp:revision>62</cp:revision>
  <cp:lastPrinted>2019-03-04T04:39:00Z</cp:lastPrinted>
  <dcterms:created xsi:type="dcterms:W3CDTF">2018-10-02T18:35:00Z</dcterms:created>
  <dcterms:modified xsi:type="dcterms:W3CDTF">2020-03-02T06:30:00Z</dcterms:modified>
</cp:coreProperties>
</file>